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25 147 vom 13. Januar 2026</w:t>
      </w:r>
    </w:p>
    <w:p>
      <w:r>
        <w:t>VS Kantonsgericht, 2026-01-13, FR</w:t>
      </w:r>
    </w:p>
    <w:p>
      <w:r>
        <w:rPr>
          <w:b/>
        </w:rPr>
        <w:t xml:space="preserve">Quelle: </w:t>
      </w:r>
      <w:r>
        <w:t>https://mcp.opencaselaw.ch/entscheid/vs_gerichte_A1 25 147</w:t>
      </w:r>
    </w:p>
    <w:p>
      <w:r>
        <w:t>FR: VS_GERICHTE A1 25 147 du 13 janvier 2026</w:t>
      </w:r>
    </w:p>
    <w:p>
      <w:r>
        <w:t>IT: VS_GERICHTE A1 25 147 del 13 gennaio 2026</w:t>
      </w:r>
    </w:p>
    <w:p>
      <w:pPr>
        <w:pStyle w:val="Heading2"/>
      </w:pPr>
      <w:r>
        <w:t>Erwägungen</w:t>
      </w:r>
    </w:p>
    <w:p>
      <w:r>
        <w:rPr>
          <w:b/>
        </w:rPr>
        <w:t>E. 1.1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s’analyse à la lumière de la jurisprudence rendue en application de l’art. 89 LTF, le droit cantonal n’ayant en l’occurrence pas une portée plus large (ATF 144 I 43 consid. 2.1, cité p. ex. in arrêt du Tribunal fédéral 1C_200/2024, 1C_208/2024 du 13 août 2025 consid. 2). En matière de droit des constructions, le voisin est admis à recourir lorsqu'il est atteint de manière certaine ou du moins avec une probabilité suffisante par la gêne que la décision peut occasionner (ATF 140 II 214 consid. 2.3). Il doit retirer de l'annulation ou de la modification de celle-ci un avantage pratique qui permette d'admettre qu'il est touché dans un intérêt personnel se distinguant nettement de l'intérêt général des autres habitants de la commune (ATF 133 II 249 consid. 1.3.1 ; arrêt 1C_200/2024, 1C_208/2024 précité consid. 2.1). Tel est en principe le cas du voisin direct de la construction ou de l'installation litigieuse (ATF 139 II 499 consid. 2.2). En l’occurrence, V _________ et W _________ sont usufruitiers de la parcelle no xxx1, qui jouxte celle sur laquelle s’érige le projet de construction dont ils contestent la régularisation. Partant, ils ont qualité pour recourir.</w:t>
      </w:r>
    </w:p>
    <w:p>
      <w:r>
        <w:rPr>
          <w:b/>
        </w:rPr>
        <w:t>E. 1.2</w:t>
      </w:r>
    </w:p>
    <w:p>
      <w:r>
        <w:t>Le recours conteste une décision administrative de dernière instance qui peut être déférée devant le Tribunal cantonal (art. 72 LPJA), en invoquant la violation de règles de droit (art. 78 al. 1 let. a LPJA). Il a au surplus été déposé dans le délai légal (art. 80 al. 1 let. b et art. 46 LPJA), compte tenu de la suspension de celui-ci du 15 juillet au 15 août inclusivement (art. 79a al. 1 let. b LPJA).</w:t>
      </w:r>
    </w:p>
    <w:p>
      <w:r>
        <w:rPr>
          <w:b/>
        </w:rPr>
        <w:t>E. 1.3</w:t>
      </w:r>
    </w:p>
    <w:p>
      <w:r>
        <w:t>Il reste à examiner si ce mémoire répond aux exigences de motivation (art. 80 al. 1 let. c et art. 48 al. 2 LPJA), ce que X _________ et Y _________ contestent dans leur réponse.</w:t>
      </w:r>
    </w:p>
    <w:p>
      <w:r>
        <w:t>- 9 - Afin de satisfaire à ces exigences, le recourant doit clairement exposer ses motifs, c'est- à-dire les raisons pour lesquelles il estime que la décision attaquée viole le droit (cf. p. ex. arrêt du Tribunal fédéral 2C_372/2025 du 10 juillet 2025 consid. 3.2) et ne pas rédiger son écriture de manière appellatoire (RVJ 2022 p. 36 consid. 1.1). Ces standards imposent au recourant de discuter l’argumentation développée par la juridiction de recours administratif afin de la débouter totalement ou partiellement. Un recours ne les respecte pas s’il omet de discuter les motifs du prononcé entrepris et se contente de réitérer devant le Tribunal des moyens formulés en des termes quasi semblables au libellé de ceux rejetés ou déclarés irrecevables dans ce prononcé (ACDP A1 25 39 du 28 mai 2025 consid. 1.2.1 et la réf. cit.). Ainsi, il doit exister un lien entre la motivation du recours et la décision attaquée, la partie recourante devant se positionner par rapport aux considérants de l’autorité précédente, en expliquant pour quelles raisons les motifs articulés sont, de son point de vue, contraires au droit (arrêt 2C_372/2025 précité consid. 3.2 ; ACDP A1 25 39 précité consid. 1.2.1). En l’espèce, dans leur mémoire (p. 3 à 6), les recourants s’en prennent succinctement, mais clairement, à l’argumentation formulée par le Conseil d’Etat dans sa décision, en la critiquant. Dès lors, quoi qu’en dise la partie adverse, le mémoire répond aux exigences de motivation. La question de savoir si le Conseil d’Etat a refusé à bon droit d’entrer en matière sur certains griefs au motif qu’ils sortaient du cadre du litige est une question de fond qui sera traitée au considérant 4 ci-après.</w:t>
      </w:r>
    </w:p>
    <w:p>
      <w:r>
        <w:rPr>
          <w:b/>
        </w:rPr>
        <w:t>E. 2</w:t>
      </w:r>
    </w:p>
    <w:p>
      <w:r>
        <w:t>L’affaire porte sur une décision du Conseil d’Etat qui confirme la légalité d’une autorisation de construire délivrée en décembre 2024 à X _________ et Y _________. Cette autorisation régularise des travaux qui ont déjà été exécutés et qui s’écartent du permis de bâtir en force octroyé l’année précédente. Selon les recourants, cette décision du Conseil d’Etat viole l’interdiction du formalisme excessif et le principe de la bonne foi (cf. infra, consid. 4), consacre une application erronée de l’art. 45 OC (cf. infra, consid. 5), contrevient aux prescriptions de la zone (cf. infra, consid. 6) et avalise une construction dont l’implantation ne correspond pas aux plans (cf. infra, consid. 7).</w:t>
      </w:r>
    </w:p>
    <w:p>
      <w:r>
        <w:rPr>
          <w:b/>
        </w:rPr>
        <w:t>E. 3.1</w:t>
      </w:r>
    </w:p>
    <w:p>
      <w:r>
        <w:t>Les recourants sollicitent tout d’abord l’administration de plusieurs moyens de preuve, faisant ainsi usage d’un droit que la jurisprudence a déduit de l’art. 29 al. 2 Cst. (ATF 148 II 73 consid. 7.3.1 et les réf cit.) et qui est prévu par la législation cantonale (art. 80 al. 1 let. d, 56 al. 1 et 17 al. 2 LPJA).</w:t>
      </w:r>
    </w:p>
    <w:p>
      <w:r>
        <w:t>- 10 -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147 IV 534 consid. 2.5.1 et 145 I 167 consid. 4.1).</w:t>
      </w:r>
    </w:p>
    <w:p>
      <w:r>
        <w:rPr>
          <w:b/>
        </w:rPr>
        <w:t>E. 3.2</w:t>
      </w:r>
    </w:p>
    <w:p>
      <w:r>
        <w:t>Le Conseil d’Etat a déposé céans le dossier de la cause, qui comprend le dossier communal no xx/xx. La demande des intéressés en ce sens est donc satisfaite. Il ne se justifie pas de donner suite à la visite des lieux que proposent les recourants, dès lors que le dossier déposé céans comporte en particulier des plans et photographies qui permettent de se représenter les lieux et les travaux qui ont été exécutés. Ces pièces permettent d’établir les faits pertinents et de trancher le litige en toute connaissance de cause. On rappellera à cet égard que l’obligation pour l’autorité d’organiser une inspection des lieux ne se conçoit que si les faits déterminants ne peuvent pas être clarifiés d'une autre manière (cf. p. ex. arrêt du Tribunal fédéral 1C_476/2024 du 11 avril 2025 consid. 3.3 et les réf. cit.). Les recourants demandent également le dépôt par les constructeurs des « échanges de correspondance ou de courriel qu’ils ont eus avec les recourants au sujet des circonstances dans lesquelles la convention d’octobre 2023 a été signée ». Comme on le verra ci-après (cf. infra, consid. 4.4), les motifs qui sous-tendent cette offre de preuve ne sont pas pertinents pour l’issue du litige. Il s’ensuit que cette offre de preuve est superflue et doit être, elle aussi, refusée. Au demeurant, dès lors que cette requête concerne des documents dont les recourants étaient les destinataires, respectivement les auteurs, on aurait pu attendre d’eux qu’ils les produisent dans la mesure où ils les estimaient pertinents ou, à tout le moins, qu’ils indiquent les raisons pour lesquelles ils n’auraient pas été en mesure de le faire.</w:t>
      </w:r>
    </w:p>
    <w:p>
      <w:r>
        <w:rPr>
          <w:b/>
        </w:rPr>
        <w:t>E. 4.1</w:t>
      </w:r>
    </w:p>
    <w:p>
      <w:r>
        <w:t>Dans un premier grief (cf. mémoire ch. 21 p. 3), les recourants reprochent au Conseil d’Etat d’avoir violé l’interdiction du formalisme excessif et le principe de la bonne foi, en refusant d’entrer en matière sur leurs critiques relatives à l’autorisation de construire délivrée en 2023. Ils soutiennent que ce refus ne tient compte ni des circonstances dans lesquelles a été signée la convention de renonciation à faire opposition, en octobre 2023, ni de la pression exercée sur eux par les constructeurs. Ils affirment, au sujet de cette convention, qu’un accord purement privé ne permet ni d’autoriser un projet contraire aux prescriptions de la zone (distance à la limite de 4 m</w:t>
      </w:r>
    </w:p>
    <w:p>
      <w:r>
        <w:t>- 11 - au lieu des 5 m prescrits ; toiture plate interdite selon eux), ni d’appliquer, par anticipation et au préjudice des intérêts des voisins, d’autres règles qui ne sont pas encore en vigueur.</w:t>
      </w:r>
    </w:p>
    <w:p>
      <w:r>
        <w:rPr>
          <w:b/>
        </w:rPr>
        <w:t>E. 4.2</w:t>
      </w:r>
    </w:p>
    <w:p>
      <w:r>
        <w:t>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(cf. ATF 149 II 209 consid. 4.2 ainsi que les autres réf. cit. in arrêt du Tribunal fédéral 2C_553/2024 du 7 mai 2025 consid. 4.1).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149 III 12 consid. 3.3.1). L'interdiction du déni de justice ne s'oppose pas à des arrêts d'irrecevabilité lorsqu'une demande ou un recours ne satisfait pas aux conditions procédurales qui conditionnent leur traitement au fond (cf. arrêt 2C_553/2024 précité consid. 4.1 et les réf. cit.). Le principe de la bonne foi est explicitement prévu à l'art. 5 al. 3 Cst. et implique notamment que les organes de l'Etat s'abstiennent d'adopter un comportement contradictoire ou abusif (ATF 136 I 254 consid. 5.2). De ce principe général découle notamment le droit fondamental du particulier à la protection de sa bonne foi dans ses relations avec l'Etat, consacré à l'art. 9 Cst. in fine (ATF 150 I 1 consid. 4.1, 138 I 49 consid. 8.3.1 et les arrêts cités).</w:t>
      </w:r>
    </w:p>
    <w:p>
      <w:r>
        <w:rPr>
          <w:b/>
        </w:rPr>
        <w:t>E. 4.3</w:t>
      </w:r>
    </w:p>
    <w:p>
      <w:r>
        <w:t>En l’occurrence, le Conseil d’Etat a justifié son refus d’entrer en matière en invoquant notamment le principe selon lequel la décision attaquée délimite, à l'égard du recourant, le cadre matériel admissible de l'objet du litige (ATF 144 II 359 consid. 4.3 ; arrêt du Tribunal fédéral 2C_616/2024 du 4 septembre 2025 consid. 5.1 ; RVJ 2021 p. 3 consid. 3.1) et qui a pour corollaire que la contestation ne peut excéder les prétentions ou les rapports juridiques sur lesquels l’autorité inférieure s’est prononcée ou, d’après une interprétation correcte de la loi, aurait dû se prononcer de manière contraignante (ZEN-RUFFINEN, Droit administratif et procédure administrative – Traité, Vol. II, 2025, nos 1610 à 1612, p. 519 s. ; BOVAY, Procédure administrative, 2e éd. 2015, p. 555). Il a ainsi considéré que les griefs susceptibles d’être invoqués devant lui ne pouvaient porter que sur les questions qui avaient été tranchées (ou qui auraient dû l’être) dans la</w:t>
      </w:r>
    </w:p>
    <w:p>
      <w:r>
        <w:t>- 12 - décision communale du 9 décembre 2024 régularisant des travaux exécutés sans autorisation. Il en a déduit que les critiques relatives à la violation de la distance à la limite, à la toiture plate, au défaut de plans de géomètre, à la dérogation à la zone réservée, au droit applicable, à la violation de la bonne foi et à l’art. 32 OC – qui portaient en définitive sur le contenu de l’autorisation de construire de 2023 qui était en force – excédaient le cadre du litige et n’avaient pas à être examinées.</w:t>
      </w:r>
    </w:p>
    <w:p>
      <w:r>
        <w:rPr>
          <w:b/>
        </w:rPr>
        <w:t>E. 4.4</w:t>
      </w:r>
    </w:p>
    <w:p>
      <w:r>
        <w:t>A l’encontre de ces arguments, les recourants allèguent qu’ils ont renoncé à faire opposition au projet de construction autorisé en 2023 sous la pression de X _________ et Y _________ et dans des circonstances « pour le moins discutables ». Ces allégations ne sont toutefois pas pertinentes, car elles laissent intacte l’argumentation convaincante de l’autorité précédente. En effet, les principes et la jurisprudence cités au considérant précédent permettaient au Conseil d’Etat, dans le litige qui était porté devant lui et qui était strictement délimité par la décision communale de régularisation des travaux du 9 décembre 2024, de refuser d’entrer en matière sur des critiques visant l’autorisation de construire en force que les recourants s’étaient abstenus de contester l’année précédente. La détermination par l’autorité précédente d’un cadre matériel strict délimitant l’objet du litige vise à préserver des intérêts dignes de protection (respect de l’autorité de la chose décidée, respect des conséquences de l’inobservation des délais d’opposition et de recours) et n’est en l’occurrence constitutive ni d’un formalisme excessif, ni d’une violation du principe de la bonne foi. Au demeurant, si les recourants estimaient qu’ils avaient été empêchés illégalement de participer à la procédure d’autorisation de construire ou que le permis en force était affecté des vices graves qu’ils mentionnaient, il leur était loisible de le faire valoir dans une procédure visant ce permis et non dans un recours visant une autre autorisation communale. On précisera encore, au sujet de la renonciation à faire opposition, qu’un vice de consentement aurait pu, le cas échéant, être invoqué pour invalider cet accord privé que les recourants affirment avoir signé en octobre 2023 après avoir pris connaissance du projet de villa de leurs voisins (par analogie avec la renonciation au droit de recours : cf. arrêts du Tribunal fédéral 1C_100/2024 du 17 juin 2025 consid. 4.3 et 2C_865/2017 du 22 mars 2019 consid. 2.4 ainsi que les réf. cit.). Or, les intéressés n’ayant jamais formellement entrepris de contester la légalité de cet accord, rien ne laisse supposer qu’ils ne l’auraient pas signé en toute connaissance de cause et sans avoir été induits en erreur. Partant, la décision du Conseil d’Etat résiste aux critiques des recourants.</w:t>
      </w:r>
    </w:p>
    <w:p>
      <w:r>
        <w:t>- 13 -</w:t>
      </w:r>
    </w:p>
    <w:p>
      <w:r>
        <w:rPr>
          <w:b/>
        </w:rPr>
        <w:t>E. 5.1</w:t>
      </w:r>
    </w:p>
    <w:p>
      <w:r>
        <w:t>Ensuite, ceux-ci contestent que les modifications apportées au projet autorisé sont minimes et qu’elles peuvent échapper à l’obligation d’enquête publique, invoquant une application erronée de l’art. 45 OC. Ils rappellent que celles-ci portent sur des éléments essentiels, à savoir les distances aux limites, le point d’altitude pour l’implantation de la construction et la création et la modification de fenêtres et de portes.</w:t>
      </w:r>
    </w:p>
    <w:p>
      <w:r>
        <w:rPr>
          <w:b/>
        </w:rPr>
        <w:t>E. 5.2</w:t>
      </w:r>
    </w:p>
    <w:p>
      <w:r>
        <w:t>En vertu de l’art. 42 al. 3 LC, pour les travaux et les modifications de projets de peu d’importance qui ne touchent pas aux intérêts des tiers, il peut être fait abstraction de l’enquête publique. Intitulé « Modifications de projet sans mise à l’enquête publique », l’art. 45 OC a la teneur suivante : « 1 Une modification du projet au sens de la présente disposition est possible lorsque les caractéristiques principales du projet demeurent inchangées. 2 Les caractéristiques principales d’un projet de construction sont l’équipement, l’implantation, les volumes, le nombre d’étages, la répartition dans les étages, l’affectation et l’aspect extérieur. Si une de ces caractéristiques est modifiée de manière substantielle, le projet de construction n’est plus comparable et doit faire l’objet d’une nouvelle demande. 3 Après avoir entendu les intéressés et les tiers concernés par la modification du projet, l’autorité compétente peut poursuivre la procédure sans nouvelle mise à l’enquête publique, respectivement approuver les modifications du projet initialement autorisé, ce à condition que ni les intérêts publics, ni les intérêts importants des voisins ne s’en trouvent touchés. Le droit de recours demeure réservé. […] » Cette disposition répond au souci d’économie de procédure et évite qu’une modification du projet ne conduise systématiquement à la reprise ab ovo de la procédure (ACDP A1 25 55 du 18 novembre 2025 consid. 4.3.1 et la réf. cit.), tout en ménageant le droit d’être entendu des tiers concernés. La solution qu’elle prévoit, admise également dans d’autres cantons (cf. p. ex. ZAUGG/LUDWIG, Kommentar zum Baugesetz des Kantons Bern, Band I, 5e éd. 2020, nos 12 et 12a ad art. 32-32d), est en principe conforme au droit fédéral (arrêt du Tribunal fédéral 1C_445/2022 du 10 juin 2024 consid. 3.2.2). D’après la jurisprudence, des modifications n’affectant pas l’identité générale d’un bâtiment par rapport aux plans initialement soumis à l’autorité ne constituent pas des modifications substantielles du projet justifiant une nouvelle mise à l’enquête publique, en particulier en cas de changements visant une meilleure intégration de l’ouvrage dans</w:t>
      </w:r>
    </w:p>
    <w:p>
      <w:r>
        <w:t>- 14 - le paysage (ACDP A1 25 55 précité consid. 4.3.1 et la réf. cit.). Selon le Tribunal fédéral, il n’est par ailleurs pas arbitraire de renoncer à une nouvelle enquête publique ou à une enquête complémentaire en présence de modifications apportées au projet afin de supprimer ou corriger divers éléments critiqués par les opposants dans le cadre de l’enquête publique ou dans le but de rendre le projet conforme au droit (ATF 99 Ia 126 consid. 3e ; arrêts du Tribunal fédéral 1C_622/2023 du 6 janvier 2025 consid. 3.3, 1C_22/2016 du 4 avril 2019 consid. 5.2 et 1C_530/2008 du 30 juin 2010 consid. 6.2 ainsi que les réf. cit.).</w:t>
      </w:r>
    </w:p>
    <w:p>
      <w:r>
        <w:rPr>
          <w:b/>
        </w:rPr>
        <w:t>E. 5.3.1</w:t>
      </w:r>
    </w:p>
    <w:p>
      <w:r>
        <w:t>En l’occurrence, dans leur mémoire (ch. 23 p. 4), les recourants laissent tout d’abord entendre que les modifications apportées au projet autorisé en 2023 touchent aux distances aux limites. Ils n’exposent toutefois pas en quoi les travaux exécutés diffèreraient sur ce point des plans autorisés en 2023 et qui ne peuvent plus être remis en question dans la présente procédure pour les motifs déjà exposés (cf. supra, consid. 4). L’examen du plan de mise en conformité des coupes A-B-C au dossier (pièces nos 106 et 109), qui reporte à la fois les éléments de construction mis à l’enquête publique à l’époque (en noir) et ceux qui ont été effectivement réalisés (en rouge), ne corrobore au contraire nullement leurs allégations. Ce document ne montre en effet aucune différence quant à l’implantation des façades du bâtiment sur la parcelle, celle mise à l’enquête se superposant à celle qui a été exécutée. Les constructeurs (cf. réponse du 30 septembre 2025 p. 9), tout comme l’autorité communale (cf. décision du 9 décembre 2024 p. 7) et le Conseil d’Etat (cf. décision attaquée consid. 5.2, 2e par.), ont d’ailleurs toujours affirmé qu’il n’y avait aucune modification de la distance à la limite par rapport aux plans autorisés en 2023. Dans ces conditions, dépourvu de substance, le grief des recourants doit être écarté.</w:t>
      </w:r>
    </w:p>
    <w:p>
      <w:r>
        <w:rPr>
          <w:b/>
        </w:rPr>
        <w:t>E. 5.3.2</w:t>
      </w:r>
    </w:p>
    <w:p>
      <w:r>
        <w:t>Ceux-ci arguent ensuite que le point d’altitude pour l’implantation du bâtiment a été modifié, les plans mis à l’enquête mentionnant une hauteur de la villa de 6 m 15, alors que les relevés du géomètre du 9 octobre 2024 montraient une hauteur de 7 m 57 (cf. mémoire de recours ch. 23 p. 4 et ch. 28 p. 6). Le niveau altimétrique de référence a été fixé à la cote 827.72, au niveau de la route bordant la parcelle à bâtir (cf. plan des relevés altimétriques, sous pièce no 105 ; plans de mise en conformité des façades et des coupes A-B-C, sous pièces nos 99, 100, 106 et 109 ; relevé des hauteurs du géomètre du 9 octobre 2024, sous pièce no 64). Ce</w:t>
      </w:r>
    </w:p>
    <w:p>
      <w:r>
        <w:t>- 15 - niveau de référence est le même entre les plans autorisés en 2023 et ceux de mise en conformité de 2024. En revanche, il ressort des pièces précitées, d’une part, que la villa a été implantée à une altitude inférieure à celle autorisée en 2023 (niveau brut de la dalle du sous-sol : construit à 821.71 [niv : -3.34], autorisé à 822.4 [niv : -2.65] ; niveau brut de la dalle du rez-de-chaussée : construit à 824.28 [niv : -0.77], autorisé à 825.05 [niv : 0.00] ; niveau brut de l’acrotère : futur à 827.65 [niv : +2.60], autorisé à 828.35 [niv : +3.30] ; cf. relevé des hauteurs du géomètre du 9 octobre 2024, sous pièce no 64 ; plan de mise en conformité des coupes A-B-C, sous pièces nos 106 et 109) et, d’autre part, que le niveau du terrain naturel diffère sensiblement entre les plans mis à l’enquête en 2023 et ceux de mise en conformité de 2024 (cf. idem ; v. aussi plans de mise en conformité des façades, sous pièces nos 99 et 100). Cette différence entre les relevés du terrain naturel est due à une erreur admise par l’architecte des constructeurs, qui a reporté sur les plans mis à l’enquête un niveau de ce terrain naturel trop haut (largement plus d’un mètre) par rapport à la réalité. Cette erreur a été constatée par l’autorité communale dans sa décision du 9 décembre 2024 (p. 7) et elle peut être confirmée à l’examen de certaines photographies au dossier qui, malgré les travaux réalisés, permettent encore de déceler des bandes herbeuses témoignant du niveau du terrain naturel (cf. pièces nos 114 et 117), lequel peut aussi, sur cette parcelle en pente, être évalué au vu du pré qui le jouxte (cf. pièces nos 117 et 118). Partant, il y a lieu de considérer comme exacts les relevés du terrain naturel effectués par le géomètre, le 9 octobre 2024, et reportés sur les plans de mise en conformité, ce que les recourants ne contestent d’ailleurs pas. Cela étant posé, la différence de hauteur de construction que les intéressés invoquent doit être mise en relation avec l’erreur susmentionnée affectant les plans mis à l’enquête. La hauteur de la villa figurant sur les plans de mise en conformité, supérieure à celle autorisée en 2023, résulte en effet uniquement de l’abaissement du niveau du terrain naturel, correction nécessaire afin de prendre pour le calcul de cette hauteur la référence prévue par la loi (art. 11 al. 2 LC). Comme les autorités précédentes l’ont retenu à juste titre, cette hauteur est quoi qu’il en soit légale, puisqu’elle est nettement inférieure à celle de 9 m au maximum autorisée pour les bâtiments à toit plat dans la zone d’habitations collectives 0.5 (cf. tableau figurant à l’art. 83 RCCZ). De plus, comme on l’a vu ci-dessus, le niveau altimétrique de l’acrotère qui sera effectivement réalisé sera, dans les faits, inférieur de 70 cm à celui résultant des plans mis à l’enquête. En d’autres termes, bien que le volume construit sortant de terre finalement réalisé soit supérieur à celui qui résulte des plans mis à l’enquête, le bâtiment sera néanmoins implanté à une altitude</w:t>
      </w:r>
    </w:p>
    <w:p>
      <w:r>
        <w:t>- 16 - inférieure. Pour cette raison, on ne saurait considérer que cette modification porte atteinte aux intérêts des propriétaires voisins, qui sont au contraire davantage préservés par la réalisation d’une construction à un niveau plus bas qu’initialement autorisé. Dans ces circonstances particulières, on peut admettre que les modifications précitées qui portent tant sur l’implantation altimétrique que sur l’aspect extérieur, ne sont pas substantielles et pouvaient être dispensées d’enquête publique au sens de l’art. 45 al. 2 OC a contrario. Les arguments des recourants sur ce point sont ainsi rejetés.</w:t>
      </w:r>
    </w:p>
    <w:p>
      <w:r>
        <w:rPr>
          <w:b/>
        </w:rPr>
        <w:t>E. 5.3.3</w:t>
      </w:r>
    </w:p>
    <w:p>
      <w:r>
        <w:t>Ceux-ci soutiennent encore qu’une mise à l’enquête publique était nécessaire en raison de la création, respectivement du déplacement ou de la suppression, de fenêtres et de portes (cf. mémoire de recours ch. 23 p. 4). On comprend qu’ils se réfèrent principalement aux ouvertures en façade sud de la villa. Les plans de mise en conformité sous pièces nos 102 à 104 montrent en effet la création, au niveau du sous-sol, de deux portes, d’une fenêtre étroite et allongée et d’une ouverture pour un panneau électrique, alors que les plans mis à l’enquête ne prévoyaient qu’une seule porte sur cette partie de façade (cf. pièce no 113). A l’instar de l’autorité précédente (cf. décision attaquée consid. 5.2, 4e par.), la Cour estime que ces modifications ne sont pas substantielles au point de justifier une nouvelle mise à l’enquête publique. Certes, elles changent quelque peu l’aspect extérieur de la villa, mais elles se situent sous la dalle supportant la terrasse. On voit donc mal en quoi ces ouvertures nouvelles, peu visibles, porteraient atteinte aux intérêts protégés des voisins. Cela est d’autant moins le cas que l’une d’entre elles sera intégralement fermée par un panneau électrique, que la nouvelle fenêtre est très étroite et que les portes ne servent d’accès qu’à des caves ou réduits. Pour le reste, le « déplacement » d’autres ouvertures dans les façades résulte simplement de l’abaissement du niveau altimétrique de la villa et ne saurait, pour les motifs exposés au considérant 5.3.2 ci-dessus, imposer une nouvelle mise à l’enquête publique. Partant, ce grief est, lui aussi, rejeté.</w:t>
      </w:r>
    </w:p>
    <w:p>
      <w:r>
        <w:rPr>
          <w:b/>
        </w:rPr>
        <w:t>E. 5.3.4</w:t>
      </w:r>
    </w:p>
    <w:p>
      <w:r>
        <w:t>Enfin, les recourants voient dans l’ordre d’arrêt des travaux prononcé par l’autorité communale une démonstration permettant de retenir que les modifications apportées au projet initialement autorisé sont substantielles, suggérant que dite autorité ne serait pas intervenue si ces modifications étaient à l’évidence minimes. Cet argument ne convainc pas. En effet, lorsque, comme en l’espèce, un projet est exécuté contrairement à</w:t>
      </w:r>
    </w:p>
    <w:p>
      <w:r>
        <w:t>- 17 - l'autorisation délivrée, l'autorité compétente est tenue par l’art. 56 al. 1 LC d’ordonner l'arrêt total ou partiel des travaux et de le faire observer. Il s’ensuit que l’ordre d’arrêt des travaux est un préalable permettant de figer la situation afin que puisse être menée la procédure qui conduira à la remise en état des lieux ou à la régularisation selon l’art. 57 LC. L’ordre d’arrêt n’est pas conditionné par la question de savoir si les travaux réalisés sans droit peuvent ou non être dispensés d’enquête publique au sens de l’art. 45 al. 2 OC a contrario.</w:t>
      </w:r>
    </w:p>
    <w:p>
      <w:r>
        <w:rPr>
          <w:b/>
        </w:rPr>
        <w:t>E. 5.4</w:t>
      </w:r>
    </w:p>
    <w:p>
      <w:r>
        <w:t>Aucun des motifs invoqués par les intéressés n’emportant la conviction, c’est sans violer l’art. 45 OC que les modifications apportées au projet autorisé ont été autorisées par l’autorité sans mise à l’enquête publique préalable. Au demeurant, on rappellera que les recourants ont été informés et ont pu faire valoir leurs arguments à l’égard de ces modifications avant que l’autorité communale ne se prononce, de sorte qu’on ne voit pas ce qu’une nouvelle mise à l’enquête publique pourrait concrètement leur apporter.</w:t>
      </w:r>
    </w:p>
    <w:p>
      <w:r>
        <w:rPr>
          <w:b/>
        </w:rPr>
        <w:t>E. 6.1</w:t>
      </w:r>
    </w:p>
    <w:p>
      <w:r>
        <w:t>Dans leur mémoire (ch. 22, 24, 25, 26 et 29 p. 4 ss), les intéressés réaffirment en outre que les violations graves des prescriptions de la zone (distance minimale à la limite et interdiction des toitures plates), du droit cantonal des constructions (dépôt d’un plan de situation conforme aux art. 27 al. 1 et 28 OC) et des règles de la zone réservée devaient être examinées dans le cadre de la procédure de remise en état des lieux, nonobstant l’autorisation de construire en force de 2023.</w:t>
      </w:r>
    </w:p>
    <w:p>
      <w:r>
        <w:rPr>
          <w:b/>
        </w:rPr>
        <w:t>E. 6.2</w:t>
      </w:r>
    </w:p>
    <w:p>
      <w:r>
        <w:t>Pour les motifs exposés au considérant 4.3 ci-dessus, ces griefs sont inopérants et doivent être écartés.</w:t>
      </w:r>
    </w:p>
    <w:p>
      <w:r>
        <w:rPr>
          <w:b/>
        </w:rPr>
        <w:t>E. 7</w:t>
      </w:r>
    </w:p>
    <w:p>
      <w:r>
        <w:t>Enfin, au ch. 27 de leur mémoire, les recourants persistent dans leur grief relatif à la mauvaise implantation du bâtiment en cours de construction. Ils ne motivent cependant pas davantage cette critique qu’ils avaient déjà fait valoir devant le Conseil d’Etat. Quoi qu’il en soit, il a précédemment été constaté, d’une part, que l’implantation des façades du bâtiment n’a pas été modifiée (cf. supra, consid. 5.3.1) et, d’autre part, que la modification de l’implantation altimétrique du bâtiment, vérifiée par un géomètre, n’a pas conduit à une violation de la hauteur maximale autorisée dans la zone (cf. supra, consid. 5.3.2). Partant, cet ultime grief ne saurait mettre en évidence une quelconque illégalité de la décision attaquée et il doit, dès lors, être écarté.</w:t>
      </w:r>
    </w:p>
    <w:p>
      <w:r>
        <w:t>- 18 -</w:t>
      </w:r>
    </w:p>
    <w:p>
      <w:r>
        <w:rPr>
          <w:b/>
        </w:rPr>
        <w:t>E. 8.1</w:t>
      </w:r>
    </w:p>
    <w:p>
      <w:r>
        <w:t>Attendu ce qui précède, le recours est rejeté (art. 80 al. 1 let. e et 60 al. 1 LPJA).</w:t>
      </w:r>
    </w:p>
    <w:p>
      <w:r>
        <w:rPr>
          <w:b/>
        </w:rPr>
        <w:t>E. 8.2</w:t>
      </w:r>
    </w:p>
    <w:p>
      <w:r>
        <w:t>L’issue du litige commande de mettre les frais à charge des recourants, solidairement entre eux (art. 88 al. 2 et 89 al. 1 LPJA). Ceux-ci supportent également leurs dépens (art. 91 al. 1 LPJA a contrario). Sur le vu des principes de la couverture des frais et de l’équivalence des prestations et compte tenu des critères d’appréciation et des limites des art. 13 al. 1 et 25 LTar, l’émolument de justice, qui comprend les frais de l’ordonnance du 10 octobre 2025, est fixé à 2000 francs.</w:t>
      </w:r>
    </w:p>
    <w:p>
      <w:r>
        <w:rPr>
          <w:b/>
        </w:rPr>
        <w:t>E. 8.3</w:t>
      </w:r>
    </w:p>
    <w:p>
      <w:r>
        <w:t>Dès lors qu’ils ont pris une conclusion en ce sens et qu’ils obtiennent gain de cause, X _________ et Y _________ ont droit à des dépens à la charge des recourants (art. 91 al. 1 LPJA). Le montant de cette indemnité de dépens est fixé à 2200 fr. (débours et TVA inclus). Il tient compte du travail effectué par le mandataire des susnommés, qui a consisté principalement en la rédaction d’une réponse de 12 pages sur le recours ainsi que sur la demande de mesures provisionnelles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